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bookmarkStart w:id="0" w:name="_GoBack"/>
      <w:bookmarkEnd w:id="0"/>
    </w:p>
    <w:p>
      <w:pPr>
        <w:pStyle w:val="10"/>
        <w:jc w:val="center"/>
        <w:rPr>
          <w:rFonts w:ascii="Times New Roman" w:hAnsi="Times New Roman" w:cs="Times New Roman"/>
          <w:sz w:val="32"/>
          <w:szCs w:val="32"/>
        </w:rPr>
      </w:pPr>
      <w:r>
        <w:rPr>
          <w:rFonts w:ascii="Times New Roman" w:hAnsi="Times New Roman" w:cs="Times New Roman"/>
          <w:sz w:val="44"/>
          <w:szCs w:val="44"/>
        </w:rPr>
        <w:t>反兴奋剂条例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ascii="Times New Roman" w:hAnsi="Times New Roman" w:eastAsia="楷体_GB2312" w:cs="Times New Roman"/>
          <w:spacing w:val="-6"/>
          <w:sz w:val="32"/>
          <w:szCs w:val="32"/>
        </w:rPr>
        <w:t>2004年1月13日中华人民共和国国务院令第398号公布</w:t>
      </w:r>
      <w:r>
        <w:rPr>
          <w:rFonts w:ascii="Times New Roman" w:hAnsi="Times New Roman" w:eastAsia="楷体_GB2312" w:cs="Times New Roman"/>
          <w:sz w:val="32"/>
          <w:szCs w:val="32"/>
        </w:rPr>
        <w:t>　根据2011年1月8日《国务院关于废止和修改部分行政法规的决定》第一次修订　根据2014年7月29日《国务院关于修改部分行政法规的决定》第二次修订　根据2018年9月18日《国务院关于修改部分行政法规的决定》第三次修订)</w:t>
      </w:r>
    </w:p>
    <w:p>
      <w:pPr>
        <w:pStyle w:val="3"/>
        <w:bidi w:val="0"/>
      </w:pPr>
      <w: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为了防止在体育运动中使用兴奋剂，保护体育运动参加者的身心健康，维护体育竞赛的公平竞争，根据《中华人民共和国体育法》和其他有关法律，制定本条例。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本条例所称兴奋剂，是指兴奋剂目录所列的禁用物质等。兴奋剂目录由国务院体育主管部门会同国务院药品监督管理部门、国务院卫生主管部门、国务院商务主管部门和海关总署制定、调整并公布。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国家提倡健康、文明的体育运动，加强反兴奋剂的宣传、教育和监督管理，坚持严格禁止、严格检查、严肃处理的反兴奋剂工作方针，禁止使用兴奋剂。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任何单位和个人不得向体育运动参加者提供或者变相提供兴奋剂。</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国务院体育主管部门负责并组织全国的反兴奋剂工作。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县级以上人民政府负责药品监督管理的部门和卫生、教育等有关部门，在各自职责范围内依照本条例和有关法律、行政法规的规定负责反兴奋剂工作。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县级以上人民政府体育主管部门，应当加强反兴奋剂宣传、教育工作，提高体育运动参加者和公众的反兴奋剂意识。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广播电台、电视台、报刊媒体以及互联网信息服务提供者应当开展反兴奋剂的宣传。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任何单位和个人发现违反本条例规定行为的，有权向体育主管部门和其他有关部门举报。</w:t>
      </w:r>
    </w:p>
    <w:p>
      <w:pPr>
        <w:pStyle w:val="3"/>
        <w:bidi w:val="0"/>
      </w:pPr>
      <w:r>
        <w:t>第二章　兴奋剂管理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国家对兴奋剂目录所列禁用物质实行严格管理，任何单位和个人不得非法生产、销售、进出口。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生产兴奋剂目录所列蛋白同化制剂、肽类激素(以下简称蛋白同化制剂、肽类激素)，应当依照《中华人民共和国药品管理法》(以下简称药品管理法)的规定取得《药品生产许可证》、药品批准文号。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生产企业应当记录蛋白同化制剂、肽类激素的生产、销售和库存情况，并保存记录至超过蛋白同化制剂、肽类激素有效期2年。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依照药品管理法的规定取得《药品经营许可证》的药品批发企业，具备下列条件，并经省、自治区、直辖市人民政府药品监督管理部门批准，方可经营蛋白同化制剂、肽类激素：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(一)有专门的管理人员；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(二)有专储仓库或者专储药柜；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(三)有专门的验收、检查、保管、销售和出入库登记制度；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(四)法律、行政法规规定的其他条件。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蛋白同化制剂、肽类激素的验收、检查、保管、销售和出入库登记记录应当保存至超过蛋白同化制剂、肽类激素有效期2年。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除胰岛素外，药品零售企业不得经营蛋白同化制剂或者其他肽类激素。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进口蛋白同化制剂、肽类激素，除依照药品管理法及其实施条例的规定取得国务院药品监督管理部门发给的进口药品注册证书外，还应当取得省、自治区、直辖市人民政府药品监督管理部门颁发的进口准许证。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进口蛋白同化制剂、肽类激素，应当说明其用途。省、自治区、直辖市人民政府药品监督管理部门应当自收到申请之日起15个工作日内作出决定；对用途合法的，应当予以批准，发给进口准许证。海关凭进口准许证放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申请出口蛋白同化制剂、肽类激素，应当说明供应对象并提交进口国政府主管部门的相关证明文件等资料。省、自治区、直辖市人民政府药品监督管理部门应当自收到申请之日起15个工作日内作出决定；提交进口国政府主管部门的相关证明文件等资料的，应当予以批准，发给出口准许证。海关凭出口准许证放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境内企业接受境外企业委托生产蛋白同化制剂、肽类激素，应当签订书面委托生产合同，并将委托生产合同报省、自治区、直辖市人民政府药品监督管理部门备案。委托生产合同应当载明委托企业的国籍、委托生产的蛋白同化制剂或者肽类激素的品种、数量、生产日期等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境内企业接受境外企业委托生产的蛋白同化制剂、肽类激素不得在境内销售。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蛋白同化制剂、肽类激素的生产企业只能向医疗机构、符合本条例第九条规定的药品批发企业和其他同类生产企业供应蛋白同化制剂、肽类激素。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蛋白同化制剂、肽类激素的批发企业只能向医疗机构、蛋白同化制剂、肽类激素的生产企业和其他同类批发企业供应蛋白同化制剂、肽类激素。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蛋白同化制剂、肽类激素的进口单位只能向蛋白同化制剂、肽类激素的生产企业、医疗机构和符合本条例第九条规定的药品批发企业供应蛋白同化制剂、肽类激素。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肽类激素中的胰岛素除依照本条第一款、第二款、第三款的规定供应外，还可以向药品零售企业供应。</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医疗机构只能凭依法享有处方权的执业医师开具的处方向患者提供蛋白同化制剂、肽类激素。处方应当保存2年。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兴奋剂目录所列禁用物质属于麻醉药品、精神药品、医疗用毒性药品和易制毒化学品的，其生产、销售、进口、运输和使用，依照药品管理法和有关行政法规的规定实行特殊管理。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蛋白同化制剂、肽类激素和前款规定以外的兴奋剂目录所列其他禁用物质，实行处方药管理。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药品、食品中含有兴奋剂目录所列禁用物质的，生产企业应当在包装标识或者产品说明书上用中文注明</w:t>
      </w:r>
      <w:r>
        <w:rPr>
          <w:rFonts w:hAnsi="宋体" w:cs="Times New Roman"/>
          <w:sz w:val="32"/>
          <w:szCs w:val="32"/>
        </w:rPr>
        <w:t>“</w:t>
      </w:r>
      <w:r>
        <w:rPr>
          <w:rFonts w:ascii="Times New Roman" w:hAnsi="Times New Roman" w:eastAsia="仿宋_GB2312" w:cs="Times New Roman"/>
          <w:sz w:val="32"/>
          <w:szCs w:val="32"/>
        </w:rPr>
        <w:t>运动员慎用</w:t>
      </w:r>
      <w:r>
        <w:rPr>
          <w:rFonts w:hAnsi="宋体" w:cs="Times New Roman"/>
          <w:sz w:val="32"/>
          <w:szCs w:val="32"/>
        </w:rPr>
        <w:t>”</w:t>
      </w:r>
      <w:r>
        <w:rPr>
          <w:rFonts w:ascii="Times New Roman" w:hAnsi="Times New Roman" w:eastAsia="仿宋_GB2312" w:cs="Times New Roman"/>
          <w:sz w:val="32"/>
          <w:szCs w:val="32"/>
        </w:rPr>
        <w:t>字样。</w:t>
      </w:r>
    </w:p>
    <w:p>
      <w:pPr>
        <w:pStyle w:val="3"/>
        <w:bidi w:val="0"/>
      </w:pPr>
      <w:r>
        <w:t>第三章　反兴奋剂义务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实施运动员注册管理的体育社会团体(以下简称体育社会团体)应当加强对在本体育社会团体注册的运动员和教练、领队、队医等运动员辅助人员的监督管理和反兴奋剂的教育、培训。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运动员管理单位应当加强对其所属的运动员和运动员辅助人员的监督管理和反兴奋剂的教育、培训。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体育社会团体、运动员管理单位和其他单位，不得向运动员提供兴奋剂，不得组织、强迫、欺骗运动员在体育运动中使用兴奋剂。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科研单位不得为使用兴奋剂或者逃避兴奋剂检查提供技术支持。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运动员管理单位应当为其所属运动员约定医疗机构，指导运动员因医疗目的合理使用药物；应当记录并按照兴奋剂检查规则的规定向相关体育社会团体提供其所属运动员的医疗信息和药物使用情况。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体育社会团体、运动员管理单位，应当按照兴奋剂检查规则的规定提供运动员名单和每名运动员的教练、所从事的运动项目以及运动成绩等相关信息，并为兴奋剂检查提供便利。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全国性体育社会团体应当对在本体育社会团体注册的成员的下列行为规定处理措施和处理程序：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(一)运动员使用兴奋剂的；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(二)运动员辅助人员、运动员管理单位向运动员提供兴奋剂的；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(三)运动员、运动员辅助人员、运动员管理单位拒绝、阻挠兴奋剂检查的。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前款所指的处理程序还应当规定当事人的抗辩权和申诉权。全国性体育社会团体应当将处理措施和处理程序报国务院体育主管部门备案。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运动员辅助人员应当教育、提示运动员不得使用兴奋剂，并向运动员提供有关反兴奋剂规则的咨询。</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运动员辅助人员不得向运动员提供兴奋剂，不得组织、强迫、欺骗、教唆、协助运动员在体育运动中使用兴奋剂，不得阻挠兴奋剂检查，不得实施影响采样结果的行为。</w:t>
      </w:r>
    </w:p>
    <w:p>
      <w:pPr>
        <w:pStyle w:val="10"/>
        <w:ind w:firstLine="616" w:firstLineChars="200"/>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运动员发现运动员辅助人员违反前款规定的，有权检举、控告。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运动员不得在体育运动中使用兴奋剂。</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在体育社会团体注册的运动员、运动员辅助人员凭依法享有处方权的执业医师开具的处方，方可持有含有兴奋剂目录所列禁用物质的药品。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体育社会团体注册的运动员接受医疗诊断时，应当按照兴奋剂检查规则的规定向医师说明其运动员身份。医师对其使用药品时，应当首先选择不含兴奋剂目录所列禁用物质的药品；确需使用含有这类禁用物质的药品的，应当告知其药品性质和使用后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在全国性体育社会团体注册的运动员，因医疗目的确需使用含有兴奋剂目录所列禁用物质的药品的，应当按照兴奋剂检查规则的规定申请核准后方可使用。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运动员应当接受兴奋剂检查，不得实施影响采样结果的行为。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在全国性体育社会团体注册的运动员离开运动员驻地的，应当按照兴奋剂检查规则的规定报告。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实施中等及中等以上教育的学校和其他教育机构应当加强反兴奋剂教育，提高学生的反兴奋剂意识，并采取措施防止在学校体育活动中使用兴奋剂；发现学生使用兴奋剂，应当予以制止。</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体育专业教育应当包括反兴奋剂的教学内容。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体育健身活动经营单位及其专业指导人员，不得向体育健身活动参加者提供含有禁用物质的药品、食品。</w:t>
      </w:r>
    </w:p>
    <w:p>
      <w:pPr>
        <w:pStyle w:val="3"/>
        <w:bidi w:val="0"/>
      </w:pPr>
      <w:r>
        <w:t>第四章　兴奋剂检查与检测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国务院体育主管部门应当制定兴奋剂检查规则和兴奋剂检查计划并组织实施。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国务院体育主管部门应当根据兴奋剂检查计划，决定对全国性体育竞赛的参赛运动员实施赛内兴奋剂检查；并可以决定对省级体育竞赛的参赛运动员实施赛内兴奋剂检查。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其他体育竞赛需要进行赛内兴奋剂检查的，由竞赛组织者决定。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国务院体育主管部门应当根据兴奋剂检查计划，决定对在全国性体育社会团体注册的运动员实施赛外兴奋剂检查。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兴奋剂检查工作人员(以下简称检查人员)应当按照兴奋剂检查规则实施兴奋剂检查。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实施兴奋剂检查，应当有2名以上检查人员参加。检查人员履行兴奋剂检查职责时，应当出示兴奋剂检查证件；向运动员采集受检样本时，还应当出示按照兴奋剂检查规则签发的一次性兴奋剂检查授权书。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检查人员履行兴奋剂检查职责时，有权进入体育训练场所、体育竞赛场所和运动员驻地。有关单位和人员应当对检查人员履行兴奋剂检查职责予以配合，不得拒绝、阻挠。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受检样本由国务院体育主管部门确定的符合兴奋剂检测条件的检测机构检测。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兴奋剂检测机构及其工作人员，应当按照兴奋剂检查规则规定的范围和标准对受检样本进行检测。</w:t>
      </w:r>
    </w:p>
    <w:p>
      <w:pPr>
        <w:pStyle w:val="3"/>
        <w:bidi w:val="0"/>
      </w:pPr>
      <w:r>
        <w:t>第五章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w:t>
      </w:r>
      <w:r>
        <w:rPr>
          <w:rFonts w:ascii="Times New Roman" w:hAnsi="Times New Roman" w:eastAsia="仿宋_GB2312" w:cs="Times New Roman"/>
          <w:sz w:val="32"/>
          <w:szCs w:val="32"/>
        </w:rPr>
        <w:t>　体育主管部门和其他行政机关及其工作人员不履行职责，或者包庇、纵容非法使用、提供兴奋剂，或者有其他违反本条例行为的，对负有责任的主管人员和其他直接责任人员，依法给予行政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违反本条例规定，有下列行为之一的，由县级以上人民政府负责药品监督管理的部门按照国务院药品监督管理部门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(一)生产企业擅自生产蛋白同化制剂、肽类激素，或者未按照本条例规定渠道供应蛋白同化制剂、肽类激素的；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(二)药品批发企业擅自经营蛋白同化制剂、肽类激素，或者未按照本条例规定渠道供应蛋白同化制剂、肽类激素的；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(三)药品零售企业擅自经营蛋白同化制剂、肽类激素的。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w:t>
      </w:r>
      <w:r>
        <w:rPr>
          <w:rFonts w:ascii="Times New Roman" w:hAnsi="Times New Roman" w:eastAsia="仿宋_GB2312" w:cs="Times New Roman"/>
          <w:sz w:val="32"/>
          <w:szCs w:val="32"/>
        </w:rPr>
        <w:t>　体育社会团体、运动员管理单位向运动员提供兴奋剂或者组织、强迫、欺骗运动员在体育运动中使用兴奋剂的，由国务院体育主管部门或者省、自治区、直辖市人民政府体育主管部门收缴非法持有的兴奋剂；负有责任的主管人员和其他直接责任人员4年内不得从事体育管理工作和运动员辅助工作；情节严重的，终身不得从事体育管理工作和运动员辅助工作；造成运动员人身损害的，依法承担民事赔偿责任；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体育社会团体、运动员管理单位未履行本条例规定的其他义务的，由国务院体育主管部门或者省、自治区、直辖市人民政府体育主管部门责令改正；造成严重后果的，负有责任的主管人员和其他直接责任人员2年内不得从事体育管理工作和运动员辅助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w:t>
      </w:r>
      <w:r>
        <w:rPr>
          <w:rFonts w:ascii="Times New Roman" w:hAnsi="Times New Roman" w:eastAsia="仿宋_GB2312" w:cs="Times New Roman"/>
          <w:sz w:val="32"/>
          <w:szCs w:val="32"/>
        </w:rPr>
        <w:t>　运动员辅助人员组织、强迫、欺骗、教唆运动员在体育运动中使用兴奋剂的，由国务院体育主管部门或者省、自治区、直辖市人民政府体育主管部门收缴非法持有的兴奋剂；4年内不得从事运动员辅助工作和体育管理工作；情节严重的，终身不得从事运动员辅助工作和体育管理工作；造成运动员人身损害的，依法承担民事赔偿责任；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动员辅助人员向运动员提供兴奋剂，或者协助运动员在体育运动中使用兴奋剂，或者实施影响采样结果行为的，由国务院体育主管部门或者省、自治区、直辖市人民政府体育主管部门收缴非法持有的兴奋剂；2年内不得从事运动员辅助工作和体育管理工作；情节严重的，终身不得从事运动员辅助工作和体育管理工作；造成运动员人身损害的，依法承担民事赔偿责任；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w:t>
      </w:r>
      <w:r>
        <w:rPr>
          <w:rFonts w:ascii="Times New Roman" w:hAnsi="Times New Roman" w:eastAsia="仿宋_GB2312" w:cs="Times New Roman"/>
          <w:sz w:val="32"/>
          <w:szCs w:val="32"/>
        </w:rPr>
        <w:t>　运动员辅助人员非法持有兴奋剂的，由国务院体育主管部门或者省、自治区、直辖市人民政府体育主管部门收缴非法持有的兴奋剂；情节严重的，2年内不得从事运动员辅助工作。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　体育社会团体、运动员管理单位违反本条例规定，负有责任的主管人员和其他直接责任人员属于国家工作人员的，还应当依法给予撤职、开除的行政处分。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运动员辅助人员违反本条例规定，属于国家工作人员的，还应当依法给予撤职、开除的行政处分。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w:t>
      </w:r>
      <w:r>
        <w:rPr>
          <w:rFonts w:ascii="Times New Roman" w:hAnsi="Times New Roman" w:eastAsia="仿宋_GB2312" w:cs="Times New Roman"/>
          <w:sz w:val="32"/>
          <w:szCs w:val="32"/>
        </w:rPr>
        <w:t>　按照本条例第三十九条、第四十条、第四十一条规定作出的处理决定应当公开，公众有权查阅。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w:t>
      </w:r>
      <w:r>
        <w:rPr>
          <w:rFonts w:ascii="Times New Roman" w:hAnsi="Times New Roman" w:eastAsia="仿宋_GB2312" w:cs="Times New Roman"/>
          <w:sz w:val="32"/>
          <w:szCs w:val="32"/>
        </w:rPr>
        <w:t>　医师未按照本条例的规定使用药品，或者未履行告知义务的，由县级以上人民政府卫生主管部门给予警告；造成严重后果的，责令暂停6个月以上1年以下执业活动。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w:t>
      </w:r>
      <w:r>
        <w:rPr>
          <w:rFonts w:ascii="Times New Roman" w:hAnsi="Times New Roman" w:eastAsia="仿宋_GB2312" w:cs="Times New Roman"/>
          <w:sz w:val="32"/>
          <w:szCs w:val="32"/>
        </w:rPr>
        <w:t>　体育健身活动经营单位向体育健身活动参加者提供含有禁用物质的药品、食品的，由负责药品监督管理的部门、食品安全监督管理部门依照药品管理法、《中华人民共和国食品安全法》和有关行政法规的规定予以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w:t>
      </w:r>
      <w:r>
        <w:rPr>
          <w:rFonts w:ascii="Times New Roman" w:hAnsi="Times New Roman" w:eastAsia="仿宋_GB2312" w:cs="Times New Roman"/>
          <w:sz w:val="32"/>
          <w:szCs w:val="32"/>
        </w:rPr>
        <w:t>　运动员违反本条例规定的，由有关体育社会团体、运动员管理单位、竞赛组织者作出取消参赛资格、取消比赛成绩或者禁赛的处理。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运动员因受到前款规定的处理不服的，可以向体育仲裁机构申请仲裁。</w:t>
      </w:r>
    </w:p>
    <w:p>
      <w:pPr>
        <w:pStyle w:val="3"/>
        <w:bidi w:val="0"/>
      </w:pPr>
      <w:r>
        <w:t>第六章　附则</w:t>
      </w:r>
    </w:p>
    <w:p>
      <w:pPr>
        <w:pStyle w:val="3"/>
        <w:bidi w:val="0"/>
        <w:rPr>
          <w:rFonts w:hint="eastAsia"/>
          <w:lang w:eastAsia="zh-CN"/>
        </w:rPr>
      </w:pPr>
      <w:r>
        <w:rPr>
          <w:rFonts w:ascii="Times New Roman" w:hAnsi="Times New Roman" w:eastAsia="黑体" w:cs="Times New Roman"/>
          <w:sz w:val="32"/>
          <w:szCs w:val="32"/>
        </w:rPr>
        <w:t>第四十七条</w:t>
      </w:r>
      <w:r>
        <w:rPr>
          <w:rFonts w:ascii="Times New Roman" w:hAnsi="Times New Roman" w:eastAsia="仿宋_GB2312" w:cs="Times New Roman"/>
          <w:sz w:val="32"/>
          <w:szCs w:val="32"/>
        </w:rPr>
        <w:t>　本条例自2004年3月1日起施行。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4401145"/>
    <w:rsid w:val="051529ED"/>
    <w:rsid w:val="058213F7"/>
    <w:rsid w:val="06A0228E"/>
    <w:rsid w:val="06E72AA9"/>
    <w:rsid w:val="07405EF4"/>
    <w:rsid w:val="0788080A"/>
    <w:rsid w:val="07E71367"/>
    <w:rsid w:val="08BC05A4"/>
    <w:rsid w:val="08FF0C17"/>
    <w:rsid w:val="094845F0"/>
    <w:rsid w:val="0963250F"/>
    <w:rsid w:val="09723D9C"/>
    <w:rsid w:val="097F7BAD"/>
    <w:rsid w:val="09B60066"/>
    <w:rsid w:val="0A6920EC"/>
    <w:rsid w:val="0A8C2526"/>
    <w:rsid w:val="0AE962F4"/>
    <w:rsid w:val="0AEB2A0D"/>
    <w:rsid w:val="0B3D0578"/>
    <w:rsid w:val="0C255D01"/>
    <w:rsid w:val="0C297D97"/>
    <w:rsid w:val="0D3C4224"/>
    <w:rsid w:val="0D610029"/>
    <w:rsid w:val="0D88679D"/>
    <w:rsid w:val="0DFE10B9"/>
    <w:rsid w:val="107A4DEE"/>
    <w:rsid w:val="10A47D69"/>
    <w:rsid w:val="11366EEC"/>
    <w:rsid w:val="12146020"/>
    <w:rsid w:val="12C10B30"/>
    <w:rsid w:val="134A1994"/>
    <w:rsid w:val="136642BB"/>
    <w:rsid w:val="142327B5"/>
    <w:rsid w:val="14484CDF"/>
    <w:rsid w:val="155E2CB3"/>
    <w:rsid w:val="157124FD"/>
    <w:rsid w:val="15B17054"/>
    <w:rsid w:val="16173655"/>
    <w:rsid w:val="16E85B46"/>
    <w:rsid w:val="174517D7"/>
    <w:rsid w:val="18413C16"/>
    <w:rsid w:val="18971E78"/>
    <w:rsid w:val="198A0A54"/>
    <w:rsid w:val="19DB6C33"/>
    <w:rsid w:val="1BAF2172"/>
    <w:rsid w:val="1C9212F7"/>
    <w:rsid w:val="1FE16FBA"/>
    <w:rsid w:val="2096095A"/>
    <w:rsid w:val="20D86240"/>
    <w:rsid w:val="21CE0F2E"/>
    <w:rsid w:val="221D0BEA"/>
    <w:rsid w:val="22DD4281"/>
    <w:rsid w:val="253620CC"/>
    <w:rsid w:val="25981EEB"/>
    <w:rsid w:val="25BF3D61"/>
    <w:rsid w:val="25F044FF"/>
    <w:rsid w:val="26C10A61"/>
    <w:rsid w:val="26CA1A3A"/>
    <w:rsid w:val="27680A3B"/>
    <w:rsid w:val="27A96F19"/>
    <w:rsid w:val="2834230D"/>
    <w:rsid w:val="287A18EA"/>
    <w:rsid w:val="28F8723D"/>
    <w:rsid w:val="2A8D0D45"/>
    <w:rsid w:val="2B01664D"/>
    <w:rsid w:val="2C2232D2"/>
    <w:rsid w:val="2C7458A4"/>
    <w:rsid w:val="2D644059"/>
    <w:rsid w:val="2DBE0D65"/>
    <w:rsid w:val="2DDE6B1E"/>
    <w:rsid w:val="2E1B43B4"/>
    <w:rsid w:val="2ED32E01"/>
    <w:rsid w:val="2F7908AB"/>
    <w:rsid w:val="2FF20DF5"/>
    <w:rsid w:val="318138A8"/>
    <w:rsid w:val="31F05688"/>
    <w:rsid w:val="320E2B0A"/>
    <w:rsid w:val="32252208"/>
    <w:rsid w:val="3242780E"/>
    <w:rsid w:val="330D4027"/>
    <w:rsid w:val="3330356C"/>
    <w:rsid w:val="33CF5811"/>
    <w:rsid w:val="34031BBE"/>
    <w:rsid w:val="349C60FB"/>
    <w:rsid w:val="35095248"/>
    <w:rsid w:val="355560D1"/>
    <w:rsid w:val="386D21AD"/>
    <w:rsid w:val="387E7233"/>
    <w:rsid w:val="39C71577"/>
    <w:rsid w:val="3A7915E5"/>
    <w:rsid w:val="3B1265AF"/>
    <w:rsid w:val="3B596812"/>
    <w:rsid w:val="3BA0652C"/>
    <w:rsid w:val="3CA23060"/>
    <w:rsid w:val="3CAF6F9F"/>
    <w:rsid w:val="3CDF39C7"/>
    <w:rsid w:val="3D147850"/>
    <w:rsid w:val="3D762392"/>
    <w:rsid w:val="3DFC6899"/>
    <w:rsid w:val="3E3675FB"/>
    <w:rsid w:val="3EEC1919"/>
    <w:rsid w:val="3F800236"/>
    <w:rsid w:val="3F8C783C"/>
    <w:rsid w:val="40226A0B"/>
    <w:rsid w:val="40DC5AC3"/>
    <w:rsid w:val="40F66CF8"/>
    <w:rsid w:val="40FE47B4"/>
    <w:rsid w:val="41B857FD"/>
    <w:rsid w:val="429465D8"/>
    <w:rsid w:val="431B4937"/>
    <w:rsid w:val="434336CE"/>
    <w:rsid w:val="4361706F"/>
    <w:rsid w:val="43CA1521"/>
    <w:rsid w:val="43D46F84"/>
    <w:rsid w:val="444B0E8A"/>
    <w:rsid w:val="45866A2B"/>
    <w:rsid w:val="46D80A88"/>
    <w:rsid w:val="47793996"/>
    <w:rsid w:val="47A250A3"/>
    <w:rsid w:val="48AC4D69"/>
    <w:rsid w:val="494B3B16"/>
    <w:rsid w:val="49C224BB"/>
    <w:rsid w:val="4A4F5FBC"/>
    <w:rsid w:val="4A732A37"/>
    <w:rsid w:val="4D7C1855"/>
    <w:rsid w:val="4DC87E21"/>
    <w:rsid w:val="4E4E7955"/>
    <w:rsid w:val="4E6A2FDF"/>
    <w:rsid w:val="4EDF3D2B"/>
    <w:rsid w:val="4EED79F5"/>
    <w:rsid w:val="5080370D"/>
    <w:rsid w:val="512A1D93"/>
    <w:rsid w:val="5146198F"/>
    <w:rsid w:val="51F44E31"/>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9D21D11"/>
    <w:rsid w:val="59E327B7"/>
    <w:rsid w:val="5B353B99"/>
    <w:rsid w:val="5B6D42C1"/>
    <w:rsid w:val="5C223266"/>
    <w:rsid w:val="5D0B40ED"/>
    <w:rsid w:val="5D101449"/>
    <w:rsid w:val="5DB22BFD"/>
    <w:rsid w:val="5DD739B2"/>
    <w:rsid w:val="5E900D37"/>
    <w:rsid w:val="5F5011B7"/>
    <w:rsid w:val="5F88093C"/>
    <w:rsid w:val="5FDB251D"/>
    <w:rsid w:val="60492E1B"/>
    <w:rsid w:val="60FB7125"/>
    <w:rsid w:val="61152047"/>
    <w:rsid w:val="620467BA"/>
    <w:rsid w:val="622D2BEC"/>
    <w:rsid w:val="62F60DE0"/>
    <w:rsid w:val="63DD0DD3"/>
    <w:rsid w:val="641F5EE8"/>
    <w:rsid w:val="649C0E8F"/>
    <w:rsid w:val="65152017"/>
    <w:rsid w:val="65532802"/>
    <w:rsid w:val="65BF6566"/>
    <w:rsid w:val="665D25F4"/>
    <w:rsid w:val="66E50FB1"/>
    <w:rsid w:val="674048E2"/>
    <w:rsid w:val="67D71794"/>
    <w:rsid w:val="68426F20"/>
    <w:rsid w:val="68715924"/>
    <w:rsid w:val="6A403C00"/>
    <w:rsid w:val="6B4C7D1B"/>
    <w:rsid w:val="6C267EB4"/>
    <w:rsid w:val="6D1363D3"/>
    <w:rsid w:val="6D15429C"/>
    <w:rsid w:val="6D614426"/>
    <w:rsid w:val="6DA577A5"/>
    <w:rsid w:val="6DB8609B"/>
    <w:rsid w:val="6DB87D30"/>
    <w:rsid w:val="6E804287"/>
    <w:rsid w:val="6EB30283"/>
    <w:rsid w:val="6F605325"/>
    <w:rsid w:val="70817970"/>
    <w:rsid w:val="712B5699"/>
    <w:rsid w:val="71AE146C"/>
    <w:rsid w:val="72A30A90"/>
    <w:rsid w:val="72C042BE"/>
    <w:rsid w:val="746D1278"/>
    <w:rsid w:val="762C29D0"/>
    <w:rsid w:val="76975133"/>
    <w:rsid w:val="769B60FD"/>
    <w:rsid w:val="76C10F77"/>
    <w:rsid w:val="77D8678E"/>
    <w:rsid w:val="78061DFD"/>
    <w:rsid w:val="7814798C"/>
    <w:rsid w:val="7819740D"/>
    <w:rsid w:val="789F59B2"/>
    <w:rsid w:val="78E10B53"/>
    <w:rsid w:val="78ED2B64"/>
    <w:rsid w:val="7A224A32"/>
    <w:rsid w:val="7A4B0114"/>
    <w:rsid w:val="7A6D55E9"/>
    <w:rsid w:val="7ABD49CD"/>
    <w:rsid w:val="7B58742E"/>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李建荣</cp:lastModifiedBy>
  <dcterms:modified xsi:type="dcterms:W3CDTF">2019-12-25T11:27:41Z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